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52475" w14:textId="19D7035F" w:rsidR="001A1969" w:rsidRPr="00E43557" w:rsidRDefault="001A1969" w:rsidP="00833E84">
      <w:pPr>
        <w:pStyle w:val="a5"/>
        <w:tabs>
          <w:tab w:val="clear" w:pos="9072"/>
          <w:tab w:val="right" w:pos="7088"/>
          <w:tab w:val="right" w:pos="9781"/>
        </w:tabs>
        <w:rPr>
          <w:rFonts w:cs="Arial"/>
          <w:sz w:val="22"/>
          <w:szCs w:val="20"/>
        </w:rPr>
      </w:pPr>
      <w:bookmarkStart w:id="0" w:name="_GoBack"/>
      <w:bookmarkEnd w:id="0"/>
      <w:r w:rsidRPr="00E43557">
        <w:rPr>
          <w:rFonts w:cs="Arial"/>
          <w:sz w:val="22"/>
        </w:rPr>
        <w:t>3GPP TSG-RAN WG1 Meeting #1</w:t>
      </w:r>
      <w:r w:rsidR="006E4D6D" w:rsidRPr="00E43557">
        <w:rPr>
          <w:rFonts w:cs="Arial"/>
          <w:sz w:val="22"/>
        </w:rPr>
        <w:t>1</w:t>
      </w:r>
      <w:r w:rsidR="00463744">
        <w:rPr>
          <w:rFonts w:cs="Arial"/>
          <w:sz w:val="22"/>
        </w:rPr>
        <w:t>2</w:t>
      </w:r>
      <w:r w:rsidRPr="00E43557">
        <w:rPr>
          <w:rFonts w:cs="Arial"/>
          <w:sz w:val="22"/>
        </w:rPr>
        <w:tab/>
      </w:r>
      <w:r w:rsidRPr="00E43557">
        <w:rPr>
          <w:rFonts w:cs="Arial"/>
          <w:sz w:val="22"/>
        </w:rPr>
        <w:tab/>
      </w:r>
      <w:r w:rsidRPr="00E43557">
        <w:rPr>
          <w:rFonts w:cs="Arial"/>
          <w:sz w:val="22"/>
        </w:rPr>
        <w:tab/>
        <w:t>R1-2</w:t>
      </w:r>
      <w:r w:rsidR="00463744">
        <w:rPr>
          <w:rFonts w:cs="Arial"/>
          <w:sz w:val="22"/>
        </w:rPr>
        <w:t>30</w:t>
      </w:r>
      <w:r w:rsidR="00C245C8" w:rsidRPr="00C245C8">
        <w:rPr>
          <w:rFonts w:cs="Arial"/>
          <w:sz w:val="22"/>
        </w:rPr>
        <w:t>0296</w:t>
      </w:r>
    </w:p>
    <w:p w14:paraId="2514542D" w14:textId="1BAB3F1B" w:rsidR="001A1969" w:rsidRPr="001A1969" w:rsidRDefault="00B37E8F" w:rsidP="001A1969">
      <w:pPr>
        <w:pStyle w:val="a5"/>
        <w:tabs>
          <w:tab w:val="right" w:pos="9639"/>
        </w:tabs>
        <w:rPr>
          <w:rFonts w:cs="Arial"/>
          <w:sz w:val="22"/>
        </w:rPr>
      </w:pPr>
      <w:r>
        <w:rPr>
          <w:rFonts w:cs="Arial"/>
          <w:sz w:val="22"/>
        </w:rPr>
        <w:t>Athens</w:t>
      </w:r>
      <w:r w:rsidR="00702B75">
        <w:rPr>
          <w:rFonts w:cs="Arial"/>
          <w:sz w:val="22"/>
        </w:rPr>
        <w:t xml:space="preserve">, </w:t>
      </w:r>
      <w:r>
        <w:rPr>
          <w:rFonts w:cs="Arial"/>
          <w:sz w:val="22"/>
        </w:rPr>
        <w:t>Greece</w:t>
      </w:r>
      <w:r w:rsidR="001A1969" w:rsidRPr="001A1969">
        <w:rPr>
          <w:rFonts w:cs="Arial"/>
          <w:sz w:val="22"/>
        </w:rPr>
        <w:t xml:space="preserve">, </w:t>
      </w:r>
      <w:r>
        <w:rPr>
          <w:rFonts w:cs="Arial"/>
          <w:sz w:val="22"/>
        </w:rPr>
        <w:t>February</w:t>
      </w:r>
      <w:r w:rsidR="00B539CC">
        <w:rPr>
          <w:rFonts w:cs="Arial"/>
          <w:sz w:val="22"/>
        </w:rPr>
        <w:t xml:space="preserve"> </w:t>
      </w:r>
      <w:r>
        <w:rPr>
          <w:rFonts w:cs="Arial"/>
          <w:sz w:val="22"/>
        </w:rPr>
        <w:t>27</w:t>
      </w:r>
      <w:r w:rsidR="0027143D" w:rsidRPr="0027143D">
        <w:rPr>
          <w:rFonts w:cs="Arial"/>
          <w:sz w:val="22"/>
          <w:vertAlign w:val="superscript"/>
        </w:rPr>
        <w:t>th</w:t>
      </w:r>
      <w:r w:rsidR="00B539CC">
        <w:rPr>
          <w:rFonts w:cs="Arial"/>
          <w:sz w:val="22"/>
        </w:rPr>
        <w:t xml:space="preserve"> – </w:t>
      </w:r>
      <w:r>
        <w:rPr>
          <w:rFonts w:cs="Arial"/>
          <w:sz w:val="22"/>
        </w:rPr>
        <w:t>March 03</w:t>
      </w:r>
      <w:r w:rsidR="0027143D" w:rsidRPr="0027143D">
        <w:rPr>
          <w:rFonts w:cs="Arial"/>
          <w:sz w:val="22"/>
          <w:vertAlign w:val="superscript"/>
        </w:rPr>
        <w:t>rd</w:t>
      </w:r>
      <w:r w:rsidR="00F35034">
        <w:rPr>
          <w:rFonts w:cs="Arial"/>
          <w:sz w:val="22"/>
        </w:rPr>
        <w:t>, 202</w:t>
      </w:r>
      <w:r w:rsidR="008067C5">
        <w:rPr>
          <w:rFonts w:cs="Arial"/>
          <w:sz w:val="22"/>
        </w:rPr>
        <w:t>3</w:t>
      </w:r>
    </w:p>
    <w:p w14:paraId="17EE1A9E" w14:textId="77777777" w:rsidR="001A1969" w:rsidRDefault="001A1969" w:rsidP="001A1969">
      <w:pPr>
        <w:rPr>
          <w:rFonts w:ascii="Arial" w:hAnsi="Arial" w:cs="Arial"/>
        </w:rPr>
      </w:pPr>
    </w:p>
    <w:p w14:paraId="247FD1D4" w14:textId="5F7B29AF"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r>
      <w:r w:rsidR="000D1F5A">
        <w:rPr>
          <w:rFonts w:ascii="Arial" w:hAnsi="Arial" w:cs="Arial"/>
          <w:b/>
        </w:rPr>
        <w:t>5</w:t>
      </w:r>
    </w:p>
    <w:p w14:paraId="56A16EDB" w14:textId="4C8EDB27"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r>
      <w:r w:rsidR="00C245C8" w:rsidRPr="00C245C8">
        <w:rPr>
          <w:rFonts w:ascii="Arial" w:hAnsi="Arial" w:cs="Arial"/>
          <w:b/>
        </w:rPr>
        <w:t>Discussion on SL LBT failure indication and consistent SL LBT failure</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Pr="00E43557" w:rsidRDefault="001A1969" w:rsidP="001A1969">
      <w:pPr>
        <w:pBdr>
          <w:bottom w:val="single" w:sz="4" w:space="1" w:color="auto"/>
        </w:pBdr>
        <w:rPr>
          <w:rFonts w:ascii="Arial" w:hAnsi="Arial" w:cs="Arial"/>
          <w:sz w:val="8"/>
          <w:szCs w:val="12"/>
        </w:rPr>
      </w:pPr>
    </w:p>
    <w:p w14:paraId="6AE21DF5" w14:textId="77777777" w:rsidR="001A1969" w:rsidRDefault="001A1969" w:rsidP="000D1F5A">
      <w:pPr>
        <w:pStyle w:val="1"/>
        <w:spacing w:before="240"/>
      </w:pPr>
      <w:r>
        <w:t>1. Introduction</w:t>
      </w:r>
    </w:p>
    <w:p w14:paraId="0FB37B0D" w14:textId="54F7BB0E" w:rsidR="001A1969" w:rsidRPr="0027143D" w:rsidRDefault="005C56C0" w:rsidP="00DC2967">
      <w:pPr>
        <w:pStyle w:val="a5"/>
        <w:spacing w:after="240"/>
        <w:jc w:val="both"/>
        <w:rPr>
          <w:rFonts w:cs="Arial"/>
          <w:b w:val="0"/>
          <w:bCs/>
        </w:rPr>
      </w:pPr>
      <w:r w:rsidRPr="0027143D">
        <w:rPr>
          <w:rFonts w:cs="Arial"/>
          <w:b w:val="0"/>
          <w:bCs/>
        </w:rPr>
        <w:t xml:space="preserve">In </w:t>
      </w:r>
      <w:r w:rsidR="00E921EA" w:rsidRPr="0027143D">
        <w:rPr>
          <w:rFonts w:cs="Arial"/>
          <w:b w:val="0"/>
          <w:bCs/>
        </w:rPr>
        <w:t>[1]</w:t>
      </w:r>
      <w:r w:rsidRPr="0027143D">
        <w:rPr>
          <w:rFonts w:cs="Arial"/>
          <w:b w:val="0"/>
          <w:bCs/>
        </w:rPr>
        <w:t xml:space="preserve">, </w:t>
      </w:r>
      <w:r w:rsidR="00E921EA" w:rsidRPr="0027143D">
        <w:rPr>
          <w:rFonts w:cs="Arial"/>
          <w:b w:val="0"/>
          <w:bCs/>
        </w:rPr>
        <w:t>RAN1</w:t>
      </w:r>
      <w:r w:rsidR="00B9658B" w:rsidRPr="0027143D">
        <w:rPr>
          <w:rFonts w:cs="Arial"/>
          <w:b w:val="0"/>
          <w:bCs/>
        </w:rPr>
        <w:t xml:space="preserve"> </w:t>
      </w:r>
      <w:r w:rsidR="00E921EA" w:rsidRPr="0027143D">
        <w:rPr>
          <w:rFonts w:cs="Arial"/>
          <w:b w:val="0"/>
          <w:bCs/>
        </w:rPr>
        <w:t xml:space="preserve">received a liaison statement from RAN2 </w:t>
      </w:r>
      <w:r w:rsidR="00BA71D4" w:rsidRPr="0027143D">
        <w:rPr>
          <w:rFonts w:cs="Arial"/>
          <w:b w:val="0"/>
          <w:bCs/>
        </w:rPr>
        <w:t xml:space="preserve">requesting </w:t>
      </w:r>
      <w:r w:rsidR="00DC2967" w:rsidRPr="0027143D">
        <w:rPr>
          <w:rFonts w:cs="Arial"/>
          <w:b w:val="0"/>
          <w:bCs/>
        </w:rPr>
        <w:t>feedback on the granularity of LBT failure notification to the MAC layer for the SL-specific consistent LBT failure detection. Below, a copy of relevant RAN2 agreements captured in the LS is provided below for convenience.</w:t>
      </w:r>
    </w:p>
    <w:tbl>
      <w:tblPr>
        <w:tblStyle w:val="aa"/>
        <w:tblW w:w="0" w:type="auto"/>
        <w:tblLook w:val="04A0" w:firstRow="1" w:lastRow="0" w:firstColumn="1" w:lastColumn="0" w:noHBand="0" w:noVBand="1"/>
      </w:tblPr>
      <w:tblGrid>
        <w:gridCol w:w="9770"/>
      </w:tblGrid>
      <w:tr w:rsidR="004C42DB" w:rsidRPr="00D5641F" w14:paraId="00E57931" w14:textId="77777777" w:rsidTr="00E43557">
        <w:tc>
          <w:tcPr>
            <w:tcW w:w="9770" w:type="dxa"/>
          </w:tcPr>
          <w:p w14:paraId="65013FBF" w14:textId="77777777" w:rsidR="00D5641F" w:rsidRPr="00D34BE1" w:rsidRDefault="00D5641F" w:rsidP="00D5641F">
            <w:pPr>
              <w:jc w:val="both"/>
              <w:rPr>
                <w:color w:val="000000" w:themeColor="text1"/>
                <w:sz w:val="22"/>
                <w:szCs w:val="28"/>
              </w:rPr>
            </w:pPr>
            <w:r w:rsidRPr="00A53A59">
              <w:rPr>
                <w:color w:val="000000" w:themeColor="text1"/>
                <w:sz w:val="22"/>
                <w:szCs w:val="28"/>
              </w:rPr>
              <w:t>Agr</w:t>
            </w:r>
            <w:r w:rsidRPr="00D34BE1">
              <w:rPr>
                <w:color w:val="000000" w:themeColor="text1"/>
                <w:sz w:val="22"/>
                <w:szCs w:val="28"/>
              </w:rPr>
              <w:t>eement on consistent LBT failure:</w:t>
            </w:r>
          </w:p>
          <w:p w14:paraId="7BF762AB"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 xml:space="preserve">1: </w:t>
            </w:r>
            <w:r w:rsidRPr="00D34BE1">
              <w:rPr>
                <w:color w:val="000000" w:themeColor="text1"/>
                <w:sz w:val="22"/>
                <w:szCs w:val="28"/>
              </w:rPr>
              <w:tab/>
              <w:t>SL-specific LBT failure indication from PHY is needed for SL-specific consistent LBT failure detection in the MAC. How/whether it is used for other purposes can be further discussed.</w:t>
            </w:r>
          </w:p>
          <w:p w14:paraId="5C91239E"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2:</w:t>
            </w:r>
            <w:r w:rsidRPr="00D34BE1">
              <w:rPr>
                <w:color w:val="000000" w:themeColor="text1"/>
                <w:sz w:val="22"/>
                <w:szCs w:val="28"/>
              </w:rPr>
              <w:tab/>
              <w:t>Support SL-specific consistent LBT failure detection and recovery procedure in the MAC for SL-U. Details of recovery to be further worked on granularity of (consistent) LBT failure.</w:t>
            </w:r>
          </w:p>
          <w:p w14:paraId="47105B03"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3:</w:t>
            </w:r>
            <w:r w:rsidRPr="00D34BE1">
              <w:rPr>
                <w:color w:val="000000" w:themeColor="text1"/>
                <w:sz w:val="22"/>
                <w:szCs w:val="28"/>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59804A2B"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Detailed wording can be discussed during the email discussion. Some background information (e.g. why/what we (actually) ask) can be also provided.</w:t>
            </w:r>
          </w:p>
          <w:p w14:paraId="29AA49C9"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4:</w:t>
            </w:r>
            <w:r w:rsidRPr="00D34BE1">
              <w:rPr>
                <w:color w:val="000000" w:themeColor="text1"/>
                <w:sz w:val="22"/>
                <w:szCs w:val="28"/>
              </w:rPr>
              <w:tab/>
              <w:t>As the general principle, reuse the consistent LBT failure detection procedure in NR-U as the baseline for SL-specific consistent LBT failure detection in SL-U.</w:t>
            </w:r>
          </w:p>
          <w:p w14:paraId="04DD68A8"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5:</w:t>
            </w:r>
            <w:r w:rsidRPr="00D34BE1">
              <w:rPr>
                <w:color w:val="000000" w:themeColor="text1"/>
                <w:sz w:val="22"/>
                <w:szCs w:val="28"/>
              </w:rPr>
              <w:tab/>
              <w:t>As in NR-U, introduce the following parameters and variables for the SL-specific consistent LBT failure detection in SL-U as the baseline:</w:t>
            </w:r>
          </w:p>
          <w:p w14:paraId="3D04B732"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An SL-specific LBT failure indication counter (e.g. SL_LBT_COUNTER);</w:t>
            </w:r>
          </w:p>
          <w:p w14:paraId="78F4BB8C"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xml:space="preserve">- An SL-specific maximum LBT failure instance count threshold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FailureInstanceMaxCount</w:t>
            </w:r>
            <w:proofErr w:type="spellEnd"/>
            <w:r w:rsidRPr="00D34BE1">
              <w:rPr>
                <w:color w:val="000000" w:themeColor="text1"/>
                <w:sz w:val="22"/>
                <w:szCs w:val="28"/>
              </w:rPr>
              <w:t>);</w:t>
            </w:r>
          </w:p>
          <w:p w14:paraId="5FCBE783"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xml:space="preserve">- An SL-specific LBT failure detection timer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w:t>
            </w:r>
          </w:p>
          <w:p w14:paraId="2C7D7DF5"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6:</w:t>
            </w:r>
            <w:r w:rsidRPr="00D34BE1">
              <w:rPr>
                <w:color w:val="000000" w:themeColor="text1"/>
                <w:sz w:val="22"/>
                <w:szCs w:val="28"/>
              </w:rPr>
              <w:tab/>
              <w:t>Reuse the following MAC behaviors on TIMER/COUNTER handling in NR-U for SL-specific consistent LBT failure detection procedure in SL-U as the baseline:</w:t>
            </w:r>
          </w:p>
          <w:p w14:paraId="6555F306"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As in NR-U, if an SL-specific LBT failure indication is received from the lower layer, the SL-specific LBT failure indication counter (e.g. SL_LBT_COUNTER) is incremented by one.</w:t>
            </w:r>
          </w:p>
          <w:p w14:paraId="2D5910E9"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xml:space="preserve">- As in NR-U, if an SL-specific LBT failure indication is received from the lower layer, start or restart the SL-specific LBT failure detection timer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w:t>
            </w:r>
          </w:p>
          <w:p w14:paraId="4CEA8B6B"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xml:space="preserve">- As in NR-U, if the SL-specific LBT failure indication counter value is equal to or larger than the SL-specific maximum LBT failure instance count threshold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FailureInstanceMaxCount</w:t>
            </w:r>
            <w:proofErr w:type="spellEnd"/>
            <w:r w:rsidRPr="00D34BE1">
              <w:rPr>
                <w:color w:val="000000" w:themeColor="text1"/>
                <w:sz w:val="22"/>
                <w:szCs w:val="28"/>
              </w:rPr>
              <w:t>), consistent LBT failure is triggered/declared by the MAC entity.</w:t>
            </w:r>
          </w:p>
          <w:p w14:paraId="5CF35A5E"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xml:space="preserve">- As in NR-U, if the SL-specific LBT failure detection timer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 expires, the SL-specific LBT failure indication counter (e.g. SL_LBT_COUNTER) is reset to 0.</w:t>
            </w:r>
          </w:p>
          <w:p w14:paraId="7EDEA176"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xml:space="preserve">- As in NR-U, if the maximum LBT failure instance count threshold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FailureInstanceMaxCount</w:t>
            </w:r>
            <w:proofErr w:type="spellEnd"/>
            <w:r w:rsidRPr="00D34BE1">
              <w:rPr>
                <w:color w:val="000000" w:themeColor="text1"/>
                <w:sz w:val="22"/>
                <w:szCs w:val="28"/>
              </w:rPr>
              <w:t xml:space="preserve">) or SL-specific LBT failure detection timer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 is reconfigured, SL-specific LBT failure indication counter (e.g. SL_LBT_COUNTER) is reset to 0.</w:t>
            </w:r>
          </w:p>
          <w:p w14:paraId="2C9590EC" w14:textId="3DE5197D" w:rsidR="004C42DB" w:rsidRPr="00D5641F" w:rsidRDefault="00D5641F" w:rsidP="00D5641F">
            <w:pPr>
              <w:tabs>
                <w:tab w:val="left" w:pos="307"/>
              </w:tabs>
              <w:ind w:left="307" w:hanging="307"/>
              <w:jc w:val="both"/>
              <w:rPr>
                <w:rFonts w:eastAsia="宋体"/>
                <w:color w:val="0070C0"/>
                <w:lang w:eastAsia="zh-CN"/>
              </w:rPr>
            </w:pPr>
            <w:r w:rsidRPr="00D34BE1">
              <w:rPr>
                <w:color w:val="000000" w:themeColor="text1"/>
                <w:sz w:val="22"/>
                <w:szCs w:val="28"/>
              </w:rPr>
              <w:t>7:</w:t>
            </w:r>
            <w:r w:rsidRPr="00D34BE1">
              <w:rPr>
                <w:color w:val="000000" w:themeColor="text1"/>
                <w:sz w:val="22"/>
                <w:szCs w:val="28"/>
              </w:rPr>
              <w:tab/>
              <w:t>Support the mechanism that a mode-1 UE can indicate the SL-specific consistent LBT failure to the gNB. FFS on a mode-2 UE in RRC_CONNECTED.</w:t>
            </w:r>
          </w:p>
        </w:tc>
      </w:tr>
    </w:tbl>
    <w:p w14:paraId="7F20B01B" w14:textId="77777777" w:rsidR="00A53A59" w:rsidRPr="00A53A59" w:rsidRDefault="00DC2967" w:rsidP="00A53A59">
      <w:pPr>
        <w:spacing w:before="240" w:after="120"/>
        <w:rPr>
          <w:rFonts w:ascii="Arial" w:hAnsi="Arial" w:cs="Arial"/>
          <w:color w:val="000000" w:themeColor="text1"/>
          <w:szCs w:val="20"/>
          <w:lang w:eastAsia="zh-CN"/>
        </w:rPr>
      </w:pPr>
      <w:r w:rsidRPr="00A53A59">
        <w:rPr>
          <w:rFonts w:ascii="Arial" w:hAnsi="Arial" w:cs="Arial"/>
          <w:color w:val="000000" w:themeColor="text1"/>
          <w:szCs w:val="20"/>
        </w:rPr>
        <w:t xml:space="preserve">Specifically, </w:t>
      </w:r>
      <w:r w:rsidR="00A53A59" w:rsidRPr="00A53A59">
        <w:rPr>
          <w:rFonts w:ascii="Arial" w:hAnsi="Arial" w:cs="Arial"/>
          <w:color w:val="000000" w:themeColor="text1"/>
          <w:szCs w:val="20"/>
        </w:rPr>
        <w:t xml:space="preserve">RAN2 is requesting </w:t>
      </w:r>
      <w:r w:rsidR="00A53A59" w:rsidRPr="00A53A59">
        <w:rPr>
          <w:rFonts w:ascii="Arial" w:hAnsi="Arial" w:cs="Arial"/>
          <w:color w:val="000000" w:themeColor="text1"/>
          <w:szCs w:val="20"/>
          <w:lang w:eastAsia="zh-CN"/>
        </w:rPr>
        <w:t xml:space="preserve">RAN1 to provide the guideline on the following question related to the SL LBT failure indication. </w:t>
      </w:r>
    </w:p>
    <w:p w14:paraId="2410F50B" w14:textId="77777777" w:rsidR="00A53A59" w:rsidRPr="00A53A59" w:rsidRDefault="00A53A59" w:rsidP="00A53A59">
      <w:pPr>
        <w:pStyle w:val="af8"/>
        <w:numPr>
          <w:ilvl w:val="0"/>
          <w:numId w:val="38"/>
        </w:numPr>
        <w:overflowPunct w:val="0"/>
        <w:autoSpaceDE w:val="0"/>
        <w:autoSpaceDN w:val="0"/>
        <w:adjustRightInd w:val="0"/>
        <w:spacing w:after="180"/>
        <w:ind w:firstLineChars="0"/>
        <w:textAlignment w:val="baseline"/>
        <w:rPr>
          <w:rFonts w:ascii="Arial" w:hAnsi="Arial" w:cs="Arial"/>
          <w:sz w:val="20"/>
          <w:szCs w:val="20"/>
        </w:rPr>
      </w:pPr>
      <w:r w:rsidRPr="00A53A59">
        <w:rPr>
          <w:rFonts w:ascii="Arial" w:hAnsi="Arial" w:cs="Arial"/>
          <w:b/>
          <w:sz w:val="20"/>
          <w:szCs w:val="20"/>
          <w:u w:val="single"/>
        </w:rPr>
        <w:t>Question</w:t>
      </w:r>
      <w:r w:rsidRPr="00A53A59">
        <w:rPr>
          <w:rFonts w:ascii="Arial" w:hAnsi="Arial" w:cs="Arial"/>
          <w:sz w:val="20"/>
          <w:szCs w:val="20"/>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A53A59" w:rsidDel="002304BA">
        <w:rPr>
          <w:rStyle w:val="ab"/>
          <w:sz w:val="20"/>
          <w:szCs w:val="20"/>
        </w:rPr>
        <w:t xml:space="preserve"> </w:t>
      </w:r>
      <w:r w:rsidRPr="00A53A59">
        <w:rPr>
          <w:rFonts w:ascii="Arial" w:hAnsi="Arial" w:cs="Arial"/>
          <w:sz w:val="20"/>
          <w:szCs w:val="20"/>
        </w:rPr>
        <w:t xml:space="preserve"> </w:t>
      </w:r>
    </w:p>
    <w:p w14:paraId="46D66C1F" w14:textId="2770A294" w:rsidR="004C42DB" w:rsidRPr="00A53A59" w:rsidRDefault="004C42DB" w:rsidP="004C42DB">
      <w:pPr>
        <w:pStyle w:val="a5"/>
        <w:spacing w:before="120" w:after="120"/>
        <w:jc w:val="both"/>
        <w:rPr>
          <w:rFonts w:cs="Arial"/>
          <w:b w:val="0"/>
          <w:bCs/>
          <w:color w:val="000000" w:themeColor="text1"/>
        </w:rPr>
      </w:pPr>
      <w:r w:rsidRPr="00A53A59">
        <w:rPr>
          <w:rFonts w:cs="Arial"/>
          <w:b w:val="0"/>
          <w:bCs/>
          <w:color w:val="000000" w:themeColor="text1"/>
        </w:rPr>
        <w:t xml:space="preserve">In this contribution, we </w:t>
      </w:r>
      <w:r w:rsidR="00A53A59" w:rsidRPr="00A53A59">
        <w:rPr>
          <w:rFonts w:cs="Arial"/>
          <w:b w:val="0"/>
          <w:bCs/>
          <w:color w:val="000000" w:themeColor="text1"/>
        </w:rPr>
        <w:t xml:space="preserve">will analyze and </w:t>
      </w:r>
      <w:r w:rsidRPr="00A53A59">
        <w:rPr>
          <w:rFonts w:cs="Arial"/>
          <w:b w:val="0"/>
          <w:bCs/>
          <w:color w:val="000000" w:themeColor="text1"/>
        </w:rPr>
        <w:t xml:space="preserve">discuss the </w:t>
      </w:r>
      <w:r w:rsidR="00A53A59" w:rsidRPr="00A53A59">
        <w:rPr>
          <w:rFonts w:cs="Arial"/>
          <w:b w:val="0"/>
          <w:bCs/>
          <w:color w:val="000000" w:themeColor="text1"/>
        </w:rPr>
        <w:t>necessity and benefits of different LBT failure reporting granularity options mentioned in RAN2’s LS, and provide our observations and views on the reporting issue.</w:t>
      </w:r>
    </w:p>
    <w:p w14:paraId="73846621" w14:textId="77777777" w:rsidR="001A1969" w:rsidRPr="00E61E01" w:rsidRDefault="001A1969" w:rsidP="00823BB3">
      <w:pPr>
        <w:pStyle w:val="1"/>
        <w:spacing w:before="240"/>
      </w:pPr>
      <w:r w:rsidRPr="00566193">
        <w:lastRenderedPageBreak/>
        <w:t>2. Discussion</w:t>
      </w:r>
    </w:p>
    <w:p w14:paraId="3606C618" w14:textId="27E230BF" w:rsidR="00BE20C7" w:rsidRPr="006649F1" w:rsidRDefault="00FB2687" w:rsidP="000D1F5A">
      <w:pPr>
        <w:spacing w:after="120"/>
        <w:jc w:val="both"/>
        <w:rPr>
          <w:rFonts w:ascii="Arial" w:hAnsi="Arial" w:cs="Arial"/>
          <w:lang w:eastAsia="zh-CN"/>
        </w:rPr>
      </w:pPr>
      <w:r w:rsidRPr="006649F1">
        <w:rPr>
          <w:rFonts w:ascii="Arial" w:hAnsi="Arial" w:cs="Arial"/>
          <w:lang w:eastAsia="zh-CN"/>
        </w:rPr>
        <w:t xml:space="preserve">As described in RAN2 LS [1], </w:t>
      </w:r>
      <w:r w:rsidR="00442068" w:rsidRPr="006649F1">
        <w:rPr>
          <w:rFonts w:ascii="Arial" w:hAnsi="Arial" w:cs="Arial"/>
          <w:lang w:eastAsia="zh-CN"/>
        </w:rPr>
        <w:t>i</w:t>
      </w:r>
      <w:r w:rsidR="00BE20C7" w:rsidRPr="006649F1">
        <w:rPr>
          <w:rFonts w:ascii="Arial" w:hAnsi="Arial" w:cs="Arial"/>
          <w:lang w:eastAsia="zh-CN"/>
        </w:rPr>
        <w:t xml:space="preserve">n NR-U, LBT failure </w:t>
      </w:r>
      <w:r w:rsidR="00442068" w:rsidRPr="006649F1">
        <w:rPr>
          <w:rFonts w:ascii="Arial" w:hAnsi="Arial" w:cs="Arial"/>
          <w:lang w:eastAsia="zh-CN"/>
        </w:rPr>
        <w:t>notification</w:t>
      </w:r>
      <w:r w:rsidR="00BE20C7" w:rsidRPr="006649F1">
        <w:rPr>
          <w:rFonts w:ascii="Arial" w:hAnsi="Arial" w:cs="Arial"/>
          <w:lang w:eastAsia="zh-CN"/>
        </w:rPr>
        <w:t xml:space="preserve"> from the PHY layer is performed per BWP. In the NR Uu, a UE can be configured with multiple BWPs and when a consistent LBT failure is observed on one BWP (e.g., due to high congestion), the UE can be switched to another BWP to gain access to the unlicensed channel. </w:t>
      </w:r>
      <w:r w:rsidR="0027476B" w:rsidRPr="006649F1">
        <w:rPr>
          <w:rFonts w:ascii="Arial" w:hAnsi="Arial" w:cs="Arial"/>
          <w:lang w:eastAsia="zh-CN"/>
        </w:rPr>
        <w:t xml:space="preserve">As also mentioned in RAN2’s LS, there is only one SL BWP can be configured in SL-U and hence it is not possible to switch SL BWP to mitigate the problem of SL-specific consistent LBT failure detection. </w:t>
      </w:r>
      <w:r w:rsidR="00442068" w:rsidRPr="006649F1">
        <w:rPr>
          <w:rFonts w:ascii="Arial" w:hAnsi="Arial" w:cs="Arial"/>
          <w:lang w:eastAsia="zh-CN"/>
        </w:rPr>
        <w:t>In this sense, it seems like LBT failure notification per-BWP in SL-U does not provide much benefit as there is no other SL BWP that the UE can be re-configured or switched to.</w:t>
      </w:r>
    </w:p>
    <w:p w14:paraId="5FBD24FF" w14:textId="3C48A688" w:rsidR="00442068" w:rsidRPr="006649F1" w:rsidRDefault="00442068" w:rsidP="000D1F5A">
      <w:pPr>
        <w:spacing w:after="120"/>
        <w:jc w:val="both"/>
        <w:rPr>
          <w:rFonts w:ascii="Arial" w:hAnsi="Arial" w:cs="Arial"/>
          <w:lang w:eastAsia="zh-CN"/>
        </w:rPr>
      </w:pPr>
      <w:r w:rsidRPr="006649F1">
        <w:rPr>
          <w:rFonts w:ascii="Arial" w:hAnsi="Arial" w:cs="Arial"/>
          <w:lang w:eastAsia="zh-CN"/>
        </w:rPr>
        <w:t xml:space="preserve">On the other hand, there are multiple RB sets in FR1 unlicensed bands supported in SL-U and as well as a UE can be (pre-)configured with up to 8 TX resource pools in a SL BWP. Transmission switching and resource re-configuring among the RB sets and resource pools would be quite feasible and straight forward. </w:t>
      </w:r>
    </w:p>
    <w:p w14:paraId="7D9054B4" w14:textId="145B7241" w:rsidR="00442068" w:rsidRPr="006649F1" w:rsidRDefault="00442068" w:rsidP="00D9394E">
      <w:pPr>
        <w:spacing w:after="240"/>
        <w:jc w:val="both"/>
        <w:rPr>
          <w:rFonts w:ascii="Arial" w:hAnsi="Arial" w:cs="Arial"/>
          <w:b/>
          <w:bCs/>
          <w:i/>
          <w:iCs/>
          <w:lang w:eastAsia="zh-CN"/>
        </w:rPr>
      </w:pPr>
      <w:r w:rsidRPr="006649F1">
        <w:rPr>
          <w:rFonts w:ascii="Arial" w:hAnsi="Arial" w:cs="Arial"/>
          <w:b/>
          <w:bCs/>
          <w:i/>
          <w:iCs/>
          <w:lang w:eastAsia="zh-CN"/>
        </w:rPr>
        <w:t>Observation 1:</w:t>
      </w:r>
      <w:r w:rsidR="00D9394E" w:rsidRPr="006649F1">
        <w:rPr>
          <w:rFonts w:ascii="Arial" w:hAnsi="Arial" w:cs="Arial"/>
          <w:b/>
          <w:bCs/>
          <w:i/>
          <w:iCs/>
          <w:lang w:eastAsia="zh-CN"/>
        </w:rPr>
        <w:t xml:space="preserve"> In SL-U, there can be multiple RB sets with an unlicensed band and UE can be (pre-)configured with up to 8 TX resource pools, but there is only one SL BWP. From TX switching and resource re-configuring perspectives, it seems reasonable that the LBT failure notification by PHY layer should be reported per resource pool or per RB set.</w:t>
      </w:r>
    </w:p>
    <w:p w14:paraId="23FC6855" w14:textId="4B72BE9A" w:rsidR="00442068" w:rsidRPr="006649F1" w:rsidRDefault="00D9394E" w:rsidP="000D1F5A">
      <w:pPr>
        <w:spacing w:after="120"/>
        <w:jc w:val="both"/>
        <w:rPr>
          <w:rFonts w:ascii="Arial" w:hAnsi="Arial" w:cs="Arial"/>
          <w:lang w:eastAsia="zh-CN"/>
        </w:rPr>
      </w:pPr>
      <w:r w:rsidRPr="006649F1">
        <w:rPr>
          <w:rFonts w:ascii="Arial" w:hAnsi="Arial" w:cs="Arial"/>
          <w:lang w:eastAsia="zh-CN"/>
        </w:rPr>
        <w:t>During RAN1#110bis-e, RAN1 made the following agreement on the multi-channel access procedure.</w:t>
      </w:r>
    </w:p>
    <w:tbl>
      <w:tblPr>
        <w:tblStyle w:val="aa"/>
        <w:tblW w:w="0" w:type="auto"/>
        <w:tblLook w:val="04A0" w:firstRow="1" w:lastRow="0" w:firstColumn="1" w:lastColumn="0" w:noHBand="0" w:noVBand="1"/>
      </w:tblPr>
      <w:tblGrid>
        <w:gridCol w:w="9770"/>
      </w:tblGrid>
      <w:tr w:rsidR="006649F1" w:rsidRPr="006649F1" w14:paraId="5CFB9B42" w14:textId="77777777" w:rsidTr="00D9394E">
        <w:tc>
          <w:tcPr>
            <w:tcW w:w="9770" w:type="dxa"/>
          </w:tcPr>
          <w:p w14:paraId="7557E351" w14:textId="77777777" w:rsidR="00D9394E" w:rsidRPr="006649F1" w:rsidRDefault="00D9394E" w:rsidP="00D9394E">
            <w:pPr>
              <w:autoSpaceDE w:val="0"/>
              <w:autoSpaceDN w:val="0"/>
              <w:spacing w:before="60" w:after="60"/>
              <w:jc w:val="both"/>
              <w:rPr>
                <w:sz w:val="22"/>
                <w:szCs w:val="22"/>
              </w:rPr>
            </w:pPr>
            <w:r w:rsidRPr="006649F1">
              <w:rPr>
                <w:b/>
                <w:bCs/>
                <w:iCs/>
                <w:sz w:val="22"/>
                <w:szCs w:val="22"/>
                <w:highlight w:val="green"/>
                <w:u w:val="single"/>
              </w:rPr>
              <w:t>Agreement</w:t>
            </w:r>
          </w:p>
          <w:p w14:paraId="47B89CBA" w14:textId="77777777" w:rsidR="00D9394E" w:rsidRPr="006649F1" w:rsidRDefault="00D9394E" w:rsidP="00D9394E">
            <w:pPr>
              <w:rPr>
                <w:sz w:val="22"/>
                <w:szCs w:val="22"/>
                <w:lang w:eastAsia="x-none"/>
              </w:rPr>
            </w:pPr>
            <w:r w:rsidRPr="006649F1">
              <w:rPr>
                <w:rFonts w:hint="eastAsia"/>
                <w:sz w:val="22"/>
                <w:szCs w:val="22"/>
                <w:lang w:eastAsia="x-none"/>
              </w:rPr>
              <w:t xml:space="preserve">For </w:t>
            </w:r>
            <w:r w:rsidRPr="006649F1">
              <w:rPr>
                <w:sz w:val="22"/>
                <w:szCs w:val="22"/>
                <w:lang w:eastAsia="x-none"/>
              </w:rPr>
              <w:t xml:space="preserve">dynamic </w:t>
            </w:r>
            <w:r w:rsidRPr="006649F1">
              <w:rPr>
                <w:rFonts w:hint="eastAsia"/>
                <w:sz w:val="22"/>
                <w:szCs w:val="22"/>
                <w:lang w:eastAsia="x-none"/>
              </w:rPr>
              <w:t xml:space="preserve">channel access </w:t>
            </w:r>
            <w:r w:rsidRPr="006649F1">
              <w:rPr>
                <w:sz w:val="22"/>
                <w:szCs w:val="22"/>
                <w:lang w:eastAsia="x-none"/>
              </w:rPr>
              <w:t xml:space="preserve">mode with multi-channel case </w:t>
            </w:r>
            <w:r w:rsidRPr="006649F1">
              <w:rPr>
                <w:rFonts w:hint="eastAsia"/>
                <w:sz w:val="22"/>
                <w:szCs w:val="22"/>
                <w:lang w:eastAsia="x-none"/>
              </w:rPr>
              <w:t>in SL-U,</w:t>
            </w:r>
            <w:r w:rsidRPr="006649F1">
              <w:rPr>
                <w:sz w:val="22"/>
                <w:szCs w:val="22"/>
                <w:lang w:eastAsia="x-none"/>
              </w:rPr>
              <w:t xml:space="preserve"> </w:t>
            </w:r>
            <w:r w:rsidRPr="006649F1">
              <w:rPr>
                <w:rFonts w:hint="eastAsia"/>
                <w:sz w:val="22"/>
                <w:szCs w:val="22"/>
                <w:lang w:eastAsia="x-none"/>
              </w:rPr>
              <w:t>NR-U UL channel access procedure</w:t>
            </w:r>
            <w:r w:rsidRPr="006649F1">
              <w:rPr>
                <w:sz w:val="22"/>
                <w:szCs w:val="22"/>
                <w:lang w:eastAsia="x-none"/>
              </w:rPr>
              <w:t xml:space="preserve"> is considered as baseline for transmission on multiple channels</w:t>
            </w:r>
          </w:p>
          <w:p w14:paraId="1061609E" w14:textId="77777777" w:rsidR="00D9394E" w:rsidRPr="006649F1" w:rsidRDefault="00D9394E" w:rsidP="00D9394E">
            <w:pPr>
              <w:pStyle w:val="af8"/>
              <w:numPr>
                <w:ilvl w:val="0"/>
                <w:numId w:val="39"/>
              </w:numPr>
              <w:autoSpaceDE w:val="0"/>
              <w:autoSpaceDN w:val="0"/>
              <w:adjustRightInd w:val="0"/>
              <w:snapToGrid w:val="0"/>
              <w:spacing w:line="276" w:lineRule="auto"/>
              <w:ind w:leftChars="100" w:left="560" w:firstLineChars="0"/>
              <w:jc w:val="both"/>
              <w:rPr>
                <w:rFonts w:ascii="Times New Roman" w:hAnsi="Times New Roman"/>
                <w:sz w:val="22"/>
                <w:szCs w:val="22"/>
              </w:rPr>
            </w:pPr>
            <w:r w:rsidRPr="006649F1">
              <w:rPr>
                <w:rFonts w:ascii="Times New Roman" w:hAnsi="Times New Roman" w:hint="eastAsia"/>
                <w:sz w:val="22"/>
                <w:szCs w:val="22"/>
              </w:rPr>
              <w:t xml:space="preserve">FFS: whether </w:t>
            </w:r>
            <w:r w:rsidRPr="006649F1">
              <w:rPr>
                <w:rFonts w:ascii="Times New Roman" w:hAnsi="Times New Roman"/>
                <w:sz w:val="22"/>
                <w:szCs w:val="22"/>
              </w:rPr>
              <w:t>transmission of</w:t>
            </w:r>
            <w:r w:rsidRPr="006649F1">
              <w:rPr>
                <w:rFonts w:ascii="Times New Roman" w:hAnsi="Times New Roman" w:hint="eastAsia"/>
                <w:sz w:val="22"/>
                <w:szCs w:val="22"/>
              </w:rPr>
              <w:t xml:space="preserve"> PSFCH</w:t>
            </w:r>
            <w:r w:rsidRPr="006649F1">
              <w:rPr>
                <w:rFonts w:ascii="Times New Roman" w:hAnsi="Times New Roman"/>
                <w:sz w:val="22"/>
                <w:szCs w:val="22"/>
              </w:rPr>
              <w:t xml:space="preserve"> and/or S-SSB on a subset of RB sets is supported (using the NR-U DL channel access procedure as baseline)</w:t>
            </w:r>
          </w:p>
          <w:p w14:paraId="64E269A4" w14:textId="31C5B531" w:rsidR="00D9394E" w:rsidRPr="006649F1" w:rsidRDefault="00D9394E" w:rsidP="00D9394E">
            <w:pPr>
              <w:pStyle w:val="af8"/>
              <w:numPr>
                <w:ilvl w:val="0"/>
                <w:numId w:val="39"/>
              </w:numPr>
              <w:autoSpaceDE w:val="0"/>
              <w:autoSpaceDN w:val="0"/>
              <w:adjustRightInd w:val="0"/>
              <w:snapToGrid w:val="0"/>
              <w:spacing w:after="60" w:line="276" w:lineRule="auto"/>
              <w:ind w:leftChars="100" w:left="560" w:firstLineChars="0"/>
              <w:jc w:val="both"/>
              <w:rPr>
                <w:rFonts w:ascii="Times New Roman" w:hAnsi="Times New Roman"/>
                <w:sz w:val="22"/>
                <w:szCs w:val="22"/>
              </w:rPr>
            </w:pPr>
            <w:r w:rsidRPr="006649F1">
              <w:rPr>
                <w:rFonts w:ascii="Times New Roman" w:hAnsi="Times New Roman" w:hint="eastAsia"/>
                <w:sz w:val="22"/>
                <w:szCs w:val="22"/>
              </w:rPr>
              <w:t xml:space="preserve">FFS any necessary enhancement and modification for </w:t>
            </w:r>
            <w:r w:rsidRPr="006649F1">
              <w:rPr>
                <w:rFonts w:ascii="Times New Roman" w:hAnsi="Times New Roman"/>
                <w:sz w:val="22"/>
                <w:szCs w:val="22"/>
              </w:rPr>
              <w:t xml:space="preserve">the </w:t>
            </w:r>
            <w:r w:rsidRPr="006649F1">
              <w:rPr>
                <w:rFonts w:ascii="Times New Roman" w:hAnsi="Times New Roman" w:hint="eastAsia"/>
                <w:sz w:val="22"/>
                <w:szCs w:val="22"/>
              </w:rPr>
              <w:t>SL-U operation</w:t>
            </w:r>
          </w:p>
        </w:tc>
      </w:tr>
    </w:tbl>
    <w:p w14:paraId="43B951F1" w14:textId="5B770BC0" w:rsidR="00D9394E" w:rsidRPr="006649F1" w:rsidRDefault="00EA04E3" w:rsidP="00D9394E">
      <w:pPr>
        <w:spacing w:before="120" w:after="120"/>
        <w:jc w:val="both"/>
        <w:rPr>
          <w:rFonts w:ascii="Arial" w:hAnsi="Arial" w:cs="Arial"/>
          <w:lang w:eastAsia="zh-CN"/>
        </w:rPr>
      </w:pPr>
      <w:r w:rsidRPr="006649F1">
        <w:rPr>
          <w:rFonts w:ascii="Arial" w:hAnsi="Arial" w:cs="Arial"/>
          <w:lang w:eastAsia="zh-CN"/>
        </w:rPr>
        <w:t>According to this agreement</w:t>
      </w:r>
      <w:r w:rsidR="00D9394E" w:rsidRPr="006649F1">
        <w:rPr>
          <w:rFonts w:ascii="Arial" w:hAnsi="Arial" w:cs="Arial"/>
          <w:lang w:eastAsia="zh-CN"/>
        </w:rPr>
        <w:t xml:space="preserve">, when </w:t>
      </w:r>
      <w:r w:rsidRPr="006649F1">
        <w:rPr>
          <w:rFonts w:ascii="Arial" w:hAnsi="Arial" w:cs="Arial"/>
          <w:lang w:eastAsia="zh-CN"/>
        </w:rPr>
        <w:t>a UE attempts</w:t>
      </w:r>
      <w:r w:rsidR="00D9394E" w:rsidRPr="006649F1">
        <w:rPr>
          <w:rFonts w:ascii="Arial" w:hAnsi="Arial" w:cs="Arial"/>
          <w:lang w:eastAsia="zh-CN"/>
        </w:rPr>
        <w:t xml:space="preserve"> </w:t>
      </w:r>
      <w:r w:rsidRPr="006649F1">
        <w:rPr>
          <w:rFonts w:ascii="Arial" w:hAnsi="Arial" w:cs="Arial"/>
          <w:lang w:eastAsia="zh-CN"/>
        </w:rPr>
        <w:t xml:space="preserve">to access multiple channels in an unlicensed carrier </w:t>
      </w:r>
      <w:r w:rsidR="00A62774" w:rsidRPr="006649F1">
        <w:rPr>
          <w:rFonts w:ascii="Arial" w:hAnsi="Arial" w:cs="Arial"/>
          <w:lang w:eastAsia="zh-CN"/>
        </w:rPr>
        <w:t>to start SL transmissions at the same time on all the channels</w:t>
      </w:r>
      <w:r w:rsidRPr="006649F1">
        <w:rPr>
          <w:rFonts w:ascii="Arial" w:hAnsi="Arial" w:cs="Arial"/>
          <w:lang w:eastAsia="zh-CN"/>
        </w:rPr>
        <w:t xml:space="preserve">, the UE may not transmit on any of the channels if one of the LBT attempts is a failure. </w:t>
      </w:r>
      <w:r w:rsidR="00A62774" w:rsidRPr="006649F1">
        <w:rPr>
          <w:rFonts w:ascii="Arial" w:hAnsi="Arial" w:cs="Arial"/>
          <w:lang w:eastAsia="zh-CN"/>
        </w:rPr>
        <w:t>In such an all-or-nothing approach (one LBT failure means no access in all channels / RB sets), LBT failure notification per RB set from the PHY layer also seems redundant as well.</w:t>
      </w:r>
    </w:p>
    <w:p w14:paraId="010A9AFF" w14:textId="1DF3F02B" w:rsidR="00A62774" w:rsidRPr="006649F1" w:rsidRDefault="00A62774" w:rsidP="005E5735">
      <w:pPr>
        <w:spacing w:before="120" w:after="240"/>
        <w:jc w:val="both"/>
        <w:rPr>
          <w:rFonts w:ascii="Arial" w:hAnsi="Arial" w:cs="Arial"/>
          <w:b/>
          <w:bCs/>
          <w:i/>
          <w:iCs/>
          <w:lang w:eastAsia="zh-CN"/>
        </w:rPr>
      </w:pPr>
      <w:r w:rsidRPr="006649F1">
        <w:rPr>
          <w:rFonts w:ascii="Arial" w:hAnsi="Arial" w:cs="Arial"/>
          <w:b/>
          <w:bCs/>
          <w:i/>
          <w:iCs/>
          <w:lang w:eastAsia="zh-CN"/>
        </w:rPr>
        <w:t xml:space="preserve">Observation 2: Due to </w:t>
      </w:r>
      <w:r w:rsidR="006649F1" w:rsidRPr="006649F1">
        <w:rPr>
          <w:rFonts w:ascii="Arial" w:hAnsi="Arial" w:cs="Arial"/>
          <w:b/>
          <w:bCs/>
          <w:i/>
          <w:iCs/>
          <w:lang w:eastAsia="zh-CN"/>
        </w:rPr>
        <w:t>existing</w:t>
      </w:r>
      <w:r w:rsidRPr="006649F1">
        <w:rPr>
          <w:rFonts w:ascii="Arial" w:hAnsi="Arial" w:cs="Arial"/>
          <w:b/>
          <w:bCs/>
          <w:i/>
          <w:iCs/>
          <w:lang w:eastAsia="zh-CN"/>
        </w:rPr>
        <w:t xml:space="preserve"> RAN1 agreement that the NR-U UL channel access procedure is considered as baseline for SL transmission on multiple channels (one LBT failure on one channel means no access in all channels / RB sets), LBT failure notification per RB set from the PHY layer seems redundant.</w:t>
      </w:r>
    </w:p>
    <w:p w14:paraId="3563DDCC" w14:textId="789A150D" w:rsidR="00A62774" w:rsidRPr="006649F1" w:rsidRDefault="0027143D" w:rsidP="00D9394E">
      <w:pPr>
        <w:spacing w:before="120" w:after="120"/>
        <w:jc w:val="both"/>
        <w:rPr>
          <w:rFonts w:ascii="Arial" w:hAnsi="Arial" w:cs="Arial"/>
          <w:lang w:eastAsia="zh-CN"/>
        </w:rPr>
      </w:pPr>
      <w:r w:rsidRPr="006649F1">
        <w:rPr>
          <w:rFonts w:ascii="Arial" w:hAnsi="Arial" w:cs="Arial"/>
          <w:lang w:eastAsia="zh-CN"/>
        </w:rPr>
        <w:t xml:space="preserve">Furthermore, if LBT failure reporting granularity is per RB set and the resource pool covers more than one RB sets, it means the MAC layer should subsequently select resources from RB sets within the RP that do not experience LBT failure. This will have some impact to the mode 2 resource selection procedure due to LBT failure reporting. Therefore, it is more straight forward for the PHY layer to report LBT failure per SL </w:t>
      </w:r>
      <w:r w:rsidR="006649F1" w:rsidRPr="006649F1">
        <w:rPr>
          <w:rFonts w:ascii="Arial" w:hAnsi="Arial" w:cs="Arial"/>
          <w:lang w:eastAsia="zh-CN"/>
        </w:rPr>
        <w:t>resource pool.</w:t>
      </w:r>
    </w:p>
    <w:p w14:paraId="0C3771CC" w14:textId="1560D4BC" w:rsidR="00D34BE1" w:rsidRPr="006649F1" w:rsidRDefault="00D34BE1" w:rsidP="00D9394E">
      <w:pPr>
        <w:spacing w:before="120" w:after="120"/>
        <w:jc w:val="both"/>
        <w:rPr>
          <w:rFonts w:ascii="Arial" w:hAnsi="Arial" w:cs="Arial"/>
          <w:b/>
          <w:bCs/>
          <w:i/>
          <w:iCs/>
          <w:lang w:eastAsia="zh-CN"/>
        </w:rPr>
      </w:pPr>
      <w:r w:rsidRPr="006649F1">
        <w:rPr>
          <w:rFonts w:ascii="Arial" w:hAnsi="Arial" w:cs="Arial"/>
          <w:b/>
          <w:bCs/>
          <w:i/>
          <w:iCs/>
          <w:lang w:eastAsia="zh-CN"/>
        </w:rPr>
        <w:t xml:space="preserve">Proposal: </w:t>
      </w:r>
      <w:r w:rsidR="006649F1" w:rsidRPr="006649F1">
        <w:rPr>
          <w:rFonts w:ascii="Arial" w:hAnsi="Arial" w:cs="Arial"/>
          <w:b/>
          <w:bCs/>
          <w:i/>
          <w:iCs/>
          <w:lang w:eastAsia="zh-CN"/>
        </w:rPr>
        <w:t>T</w:t>
      </w:r>
      <w:r w:rsidRPr="006649F1">
        <w:rPr>
          <w:rFonts w:ascii="Arial" w:hAnsi="Arial" w:cs="Arial"/>
          <w:b/>
          <w:bCs/>
          <w:i/>
          <w:iCs/>
          <w:lang w:eastAsia="zh-CN"/>
        </w:rPr>
        <w:t>he LBT failure notification from the PHY layer should be reported per resource pool.</w:t>
      </w:r>
    </w:p>
    <w:p w14:paraId="02E25986" w14:textId="1904A584" w:rsidR="00D34BE1" w:rsidRPr="006649F1" w:rsidRDefault="00D34BE1" w:rsidP="00D34BE1">
      <w:pPr>
        <w:pStyle w:val="1"/>
        <w:spacing w:before="240"/>
      </w:pPr>
      <w:r w:rsidRPr="006649F1">
        <w:t>3. Conclusion</w:t>
      </w:r>
    </w:p>
    <w:p w14:paraId="2731AD8E" w14:textId="77777777" w:rsidR="00D34BE1" w:rsidRPr="006649F1" w:rsidRDefault="00D34BE1" w:rsidP="00D34BE1">
      <w:pPr>
        <w:spacing w:after="240"/>
        <w:jc w:val="both"/>
        <w:rPr>
          <w:rFonts w:ascii="Arial" w:hAnsi="Arial" w:cs="Arial"/>
          <w:b/>
          <w:bCs/>
          <w:i/>
          <w:iCs/>
          <w:lang w:eastAsia="zh-CN"/>
        </w:rPr>
      </w:pPr>
      <w:r w:rsidRPr="006649F1">
        <w:rPr>
          <w:rFonts w:ascii="Arial" w:hAnsi="Arial" w:cs="Arial"/>
          <w:b/>
          <w:bCs/>
          <w:i/>
          <w:iCs/>
          <w:lang w:eastAsia="zh-CN"/>
        </w:rPr>
        <w:t>Observation 1: In SL-U, there can be multiple RB sets with an unlicensed band and UE can be (pre-)configured with up to 8 TX resource pools, but there is only one SL BWP. From TX switching and resource re-configuring perspectives, it seems reasonable that the LBT failure notification by PHY layer should be reported per resource pool or per RB set.</w:t>
      </w:r>
    </w:p>
    <w:p w14:paraId="79E07C36" w14:textId="77777777" w:rsidR="006649F1" w:rsidRPr="006649F1" w:rsidRDefault="006649F1" w:rsidP="006649F1">
      <w:pPr>
        <w:spacing w:before="120" w:after="240"/>
        <w:jc w:val="both"/>
        <w:rPr>
          <w:rFonts w:ascii="Arial" w:hAnsi="Arial" w:cs="Arial"/>
          <w:b/>
          <w:bCs/>
          <w:i/>
          <w:iCs/>
          <w:lang w:eastAsia="zh-CN"/>
        </w:rPr>
      </w:pPr>
      <w:r w:rsidRPr="006649F1">
        <w:rPr>
          <w:rFonts w:ascii="Arial" w:hAnsi="Arial" w:cs="Arial"/>
          <w:b/>
          <w:bCs/>
          <w:i/>
          <w:iCs/>
          <w:lang w:eastAsia="zh-CN"/>
        </w:rPr>
        <w:t>Observation 2: Due to existing RAN1 agreement that the NR-U UL channel access procedure is considered as baseline for SL transmission on multiple channels (one LBT failure on one channel means no access in all channels / RB sets), LBT failure notification per RB set from the PHY layer seems redundant.</w:t>
      </w:r>
    </w:p>
    <w:p w14:paraId="70F637AB" w14:textId="77777777" w:rsidR="006649F1" w:rsidRPr="006649F1" w:rsidRDefault="006649F1" w:rsidP="006649F1">
      <w:pPr>
        <w:spacing w:before="120" w:after="120"/>
        <w:jc w:val="both"/>
        <w:rPr>
          <w:rFonts w:ascii="Arial" w:hAnsi="Arial" w:cs="Arial"/>
          <w:b/>
          <w:bCs/>
          <w:i/>
          <w:iCs/>
          <w:lang w:eastAsia="zh-CN"/>
        </w:rPr>
      </w:pPr>
      <w:r w:rsidRPr="006649F1">
        <w:rPr>
          <w:rFonts w:ascii="Arial" w:hAnsi="Arial" w:cs="Arial"/>
          <w:b/>
          <w:bCs/>
          <w:i/>
          <w:iCs/>
          <w:lang w:eastAsia="zh-CN"/>
        </w:rPr>
        <w:t>Proposal: The LBT failure notification from the PHY layer should be reported per resource pool.</w:t>
      </w:r>
    </w:p>
    <w:p w14:paraId="5CE29351" w14:textId="1EDF690E" w:rsidR="001A1969" w:rsidRDefault="00D34BE1" w:rsidP="000D1F5A">
      <w:pPr>
        <w:pStyle w:val="1"/>
        <w:spacing w:before="240"/>
      </w:pPr>
      <w:r>
        <w:lastRenderedPageBreak/>
        <w:t>4</w:t>
      </w:r>
      <w:r w:rsidR="001A1969">
        <w:t>. References</w:t>
      </w:r>
    </w:p>
    <w:p w14:paraId="7B3A7C04" w14:textId="2662140A" w:rsidR="001A1969" w:rsidRDefault="001A1969" w:rsidP="00C245C8">
      <w:pPr>
        <w:spacing w:after="120"/>
        <w:ind w:left="284" w:hanging="284"/>
        <w:rPr>
          <w:rFonts w:ascii="Arial" w:hAnsi="Arial" w:cs="Arial"/>
          <w:lang w:eastAsia="zh-CN"/>
        </w:rPr>
      </w:pPr>
      <w:r>
        <w:rPr>
          <w:rFonts w:ascii="Arial" w:hAnsi="Arial" w:cs="Arial"/>
          <w:lang w:eastAsia="zh-CN"/>
        </w:rPr>
        <w:t>[1] R</w:t>
      </w:r>
      <w:r w:rsidR="00E921EA">
        <w:rPr>
          <w:rFonts w:ascii="Arial" w:hAnsi="Arial" w:cs="Arial"/>
          <w:lang w:eastAsia="zh-CN"/>
        </w:rPr>
        <w:t>1</w:t>
      </w:r>
      <w:r>
        <w:rPr>
          <w:rFonts w:ascii="Arial" w:hAnsi="Arial" w:cs="Arial"/>
          <w:lang w:eastAsia="zh-CN"/>
        </w:rPr>
        <w:t>-22</w:t>
      </w:r>
      <w:r w:rsidR="00D5641F">
        <w:rPr>
          <w:rFonts w:ascii="Arial" w:hAnsi="Arial" w:cs="Arial"/>
          <w:lang w:eastAsia="zh-CN"/>
        </w:rPr>
        <w:t>10805</w:t>
      </w:r>
      <w:r>
        <w:rPr>
          <w:rFonts w:ascii="Arial" w:hAnsi="Arial" w:cs="Arial"/>
          <w:lang w:eastAsia="zh-CN"/>
        </w:rPr>
        <w:t>, “</w:t>
      </w:r>
      <w:r w:rsidR="00C245C8" w:rsidRPr="00C245C8">
        <w:rPr>
          <w:rFonts w:ascii="Arial" w:hAnsi="Arial" w:cs="Arial"/>
          <w:lang w:eastAsia="zh-CN"/>
        </w:rPr>
        <w:t>Moderator summary of discussion for LS reply on SL LBT failure indication and consistent SL LBT failure</w:t>
      </w:r>
      <w:r>
        <w:rPr>
          <w:rFonts w:ascii="Arial" w:hAnsi="Arial" w:cs="Arial"/>
          <w:lang w:eastAsia="zh-CN"/>
        </w:rPr>
        <w:t xml:space="preserve">”, </w:t>
      </w:r>
      <w:r w:rsidR="00E921EA">
        <w:rPr>
          <w:rFonts w:ascii="Arial" w:hAnsi="Arial" w:cs="Arial"/>
          <w:lang w:eastAsia="zh-CN"/>
        </w:rPr>
        <w:t>RAN2</w:t>
      </w:r>
    </w:p>
    <w:p w14:paraId="64A4C7DD" w14:textId="0699306B" w:rsidR="00C245C8" w:rsidRDefault="00C245C8" w:rsidP="000D1F5A">
      <w:pPr>
        <w:spacing w:after="120"/>
        <w:rPr>
          <w:rFonts w:ascii="Arial" w:hAnsi="Arial" w:cs="Arial"/>
          <w:lang w:eastAsia="zh-CN"/>
        </w:rPr>
      </w:pPr>
      <w:r>
        <w:rPr>
          <w:rFonts w:ascii="Arial" w:hAnsi="Arial" w:cs="Arial"/>
          <w:lang w:eastAsia="zh-CN"/>
        </w:rPr>
        <w:t>[2] R1-2212827, “</w:t>
      </w:r>
      <w:r w:rsidRPr="00D5641F">
        <w:rPr>
          <w:rFonts w:ascii="Arial" w:hAnsi="Arial" w:cs="Arial"/>
          <w:lang w:eastAsia="zh-CN"/>
        </w:rPr>
        <w:t>LS on SL LBT failure indication and consistent SL LBT failure</w:t>
      </w:r>
      <w:r>
        <w:rPr>
          <w:rFonts w:ascii="Arial" w:hAnsi="Arial" w:cs="Arial"/>
          <w:lang w:eastAsia="zh-CN"/>
        </w:rPr>
        <w:t>”, Moderator (vivo)</w:t>
      </w:r>
    </w:p>
    <w:sectPr w:rsidR="00C245C8"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7AC2E" w14:textId="77777777" w:rsidR="00AF525D" w:rsidRDefault="00AF525D">
      <w:r>
        <w:separator/>
      </w:r>
    </w:p>
  </w:endnote>
  <w:endnote w:type="continuationSeparator" w:id="0">
    <w:p w14:paraId="4A367D31" w14:textId="77777777" w:rsidR="00AF525D" w:rsidRDefault="00AF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51670E" w:rsidRDefault="0051670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51670E" w:rsidRDefault="0051670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0EA0" w14:textId="77777777" w:rsidR="00AF525D" w:rsidRDefault="00AF525D">
      <w:r>
        <w:separator/>
      </w:r>
    </w:p>
  </w:footnote>
  <w:footnote w:type="continuationSeparator" w:id="0">
    <w:p w14:paraId="25DAFF3F" w14:textId="77777777" w:rsidR="00AF525D" w:rsidRDefault="00AF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51670E" w:rsidRDefault="0051670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81539"/>
    <w:multiLevelType w:val="hybridMultilevel"/>
    <w:tmpl w:val="C2E69C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30"/>
  </w:num>
  <w:num w:numId="4">
    <w:abstractNumId w:val="16"/>
  </w:num>
  <w:num w:numId="5">
    <w:abstractNumId w:val="0"/>
  </w:num>
  <w:num w:numId="6">
    <w:abstractNumId w:val="25"/>
  </w:num>
  <w:num w:numId="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7"/>
  </w:num>
  <w:num w:numId="10">
    <w:abstractNumId w:val="36"/>
  </w:num>
  <w:num w:numId="11">
    <w:abstractNumId w:val="31"/>
  </w:num>
  <w:num w:numId="12">
    <w:abstractNumId w:val="14"/>
  </w:num>
  <w:num w:numId="13">
    <w:abstractNumId w:val="6"/>
  </w:num>
  <w:num w:numId="14">
    <w:abstractNumId w:val="29"/>
  </w:num>
  <w:num w:numId="15">
    <w:abstractNumId w:val="23"/>
  </w:num>
  <w:num w:numId="16">
    <w:abstractNumId w:val="10"/>
  </w:num>
  <w:num w:numId="17">
    <w:abstractNumId w:val="18"/>
  </w:num>
  <w:num w:numId="18">
    <w:abstractNumId w:val="26"/>
  </w:num>
  <w:num w:numId="19">
    <w:abstractNumId w:val="21"/>
  </w:num>
  <w:num w:numId="20">
    <w:abstractNumId w:val="15"/>
  </w:num>
  <w:num w:numId="21">
    <w:abstractNumId w:val="4"/>
  </w:num>
  <w:num w:numId="22">
    <w:abstractNumId w:val="35"/>
  </w:num>
  <w:num w:numId="23">
    <w:abstractNumId w:val="5"/>
  </w:num>
  <w:num w:numId="24">
    <w:abstractNumId w:val="33"/>
  </w:num>
  <w:num w:numId="25">
    <w:abstractNumId w:val="11"/>
  </w:num>
  <w:num w:numId="26">
    <w:abstractNumId w:val="28"/>
  </w:num>
  <w:num w:numId="27">
    <w:abstractNumId w:val="8"/>
  </w:num>
  <w:num w:numId="28">
    <w:abstractNumId w:val="7"/>
  </w:num>
  <w:num w:numId="29">
    <w:abstractNumId w:val="19"/>
  </w:num>
  <w:num w:numId="30">
    <w:abstractNumId w:val="20"/>
  </w:num>
  <w:num w:numId="31">
    <w:abstractNumId w:val="5"/>
  </w:num>
  <w:num w:numId="32">
    <w:abstractNumId w:val="3"/>
  </w:num>
  <w:num w:numId="33">
    <w:abstractNumId w:val="17"/>
  </w:num>
  <w:num w:numId="34">
    <w:abstractNumId w:val="22"/>
  </w:num>
  <w:num w:numId="35">
    <w:abstractNumId w:val="12"/>
  </w:num>
  <w:num w:numId="36">
    <w:abstractNumId w:val="13"/>
  </w:num>
  <w:num w:numId="37">
    <w:abstractNumId w:val="24"/>
  </w:num>
  <w:num w:numId="38">
    <w:abstractNumId w:val="9"/>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046"/>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589"/>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1F5A"/>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44"/>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B77"/>
    <w:rsid w:val="00112CA5"/>
    <w:rsid w:val="00113123"/>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283"/>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5DA"/>
    <w:rsid w:val="001B3837"/>
    <w:rsid w:val="001B3CD4"/>
    <w:rsid w:val="001B3F79"/>
    <w:rsid w:val="001B3FE1"/>
    <w:rsid w:val="001B46D1"/>
    <w:rsid w:val="001B48AF"/>
    <w:rsid w:val="001B48D8"/>
    <w:rsid w:val="001B4C13"/>
    <w:rsid w:val="001B583D"/>
    <w:rsid w:val="001B5D4E"/>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6A4"/>
    <w:rsid w:val="00210A11"/>
    <w:rsid w:val="00210BC9"/>
    <w:rsid w:val="00210DC7"/>
    <w:rsid w:val="00210E6B"/>
    <w:rsid w:val="00210F69"/>
    <w:rsid w:val="002111F9"/>
    <w:rsid w:val="0021131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43D"/>
    <w:rsid w:val="00271A29"/>
    <w:rsid w:val="0027200B"/>
    <w:rsid w:val="00272524"/>
    <w:rsid w:val="00272574"/>
    <w:rsid w:val="00272BE0"/>
    <w:rsid w:val="00272C1A"/>
    <w:rsid w:val="002732F6"/>
    <w:rsid w:val="00273A03"/>
    <w:rsid w:val="00273F3B"/>
    <w:rsid w:val="00274745"/>
    <w:rsid w:val="0027476B"/>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659"/>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7"/>
    <w:rsid w:val="00324199"/>
    <w:rsid w:val="00324294"/>
    <w:rsid w:val="003242F4"/>
    <w:rsid w:val="00324D3B"/>
    <w:rsid w:val="00324F04"/>
    <w:rsid w:val="0032511F"/>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08E"/>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4E8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2D56"/>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7"/>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6EC"/>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E21"/>
    <w:rsid w:val="003F5F75"/>
    <w:rsid w:val="003F63D5"/>
    <w:rsid w:val="003F6F71"/>
    <w:rsid w:val="003F703C"/>
    <w:rsid w:val="003F77AC"/>
    <w:rsid w:val="004002E3"/>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484"/>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68"/>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44"/>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74A"/>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DB"/>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979"/>
    <w:rsid w:val="004D1CC1"/>
    <w:rsid w:val="004D286F"/>
    <w:rsid w:val="004D296A"/>
    <w:rsid w:val="004D2BBB"/>
    <w:rsid w:val="004D2E26"/>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32A"/>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3DE"/>
    <w:rsid w:val="005374B3"/>
    <w:rsid w:val="005376FF"/>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5965"/>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0B4"/>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BD"/>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A1"/>
    <w:rsid w:val="005B4712"/>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AEB"/>
    <w:rsid w:val="005C7B4C"/>
    <w:rsid w:val="005C7C4F"/>
    <w:rsid w:val="005D01E2"/>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80B"/>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735"/>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1F"/>
    <w:rsid w:val="00610D75"/>
    <w:rsid w:val="006111E6"/>
    <w:rsid w:val="006117E9"/>
    <w:rsid w:val="00611BC8"/>
    <w:rsid w:val="00611DFA"/>
    <w:rsid w:val="0061262E"/>
    <w:rsid w:val="006126FF"/>
    <w:rsid w:val="00612A18"/>
    <w:rsid w:val="00612ABF"/>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3C18"/>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9F1"/>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13"/>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8F0"/>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B75"/>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6B9E"/>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7C5"/>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00"/>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BB3"/>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963"/>
    <w:rsid w:val="008C3ADA"/>
    <w:rsid w:val="008C3EF2"/>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D0"/>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71"/>
    <w:rsid w:val="009164DC"/>
    <w:rsid w:val="009164E4"/>
    <w:rsid w:val="009168BE"/>
    <w:rsid w:val="0091693F"/>
    <w:rsid w:val="00916DA0"/>
    <w:rsid w:val="00916E0C"/>
    <w:rsid w:val="0091715A"/>
    <w:rsid w:val="0091746E"/>
    <w:rsid w:val="00917692"/>
    <w:rsid w:val="00917D80"/>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671"/>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06"/>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59"/>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774"/>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5FFB"/>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5D"/>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707"/>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E8F"/>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58B"/>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72D"/>
    <w:rsid w:val="00BA6887"/>
    <w:rsid w:val="00BA69A2"/>
    <w:rsid w:val="00BA710E"/>
    <w:rsid w:val="00BA71D4"/>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4DCD"/>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238"/>
    <w:rsid w:val="00BE17E8"/>
    <w:rsid w:val="00BE184A"/>
    <w:rsid w:val="00BE1A98"/>
    <w:rsid w:val="00BE1C89"/>
    <w:rsid w:val="00BE1D41"/>
    <w:rsid w:val="00BE2051"/>
    <w:rsid w:val="00BE2063"/>
    <w:rsid w:val="00BE20C7"/>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5C8"/>
    <w:rsid w:val="00C24845"/>
    <w:rsid w:val="00C24883"/>
    <w:rsid w:val="00C2492B"/>
    <w:rsid w:val="00C24B07"/>
    <w:rsid w:val="00C25631"/>
    <w:rsid w:val="00C25792"/>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803"/>
    <w:rsid w:val="00C44C94"/>
    <w:rsid w:val="00C451CC"/>
    <w:rsid w:val="00C45812"/>
    <w:rsid w:val="00C4593C"/>
    <w:rsid w:val="00C45CF1"/>
    <w:rsid w:val="00C45D6D"/>
    <w:rsid w:val="00C45F0C"/>
    <w:rsid w:val="00C463BE"/>
    <w:rsid w:val="00C464B9"/>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072"/>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482"/>
    <w:rsid w:val="00C9088C"/>
    <w:rsid w:val="00C90E5A"/>
    <w:rsid w:val="00C911D7"/>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D9A"/>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BE1"/>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41F"/>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94E"/>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8F3"/>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96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03B"/>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5E4"/>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3F8"/>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85"/>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557"/>
    <w:rsid w:val="00E43954"/>
    <w:rsid w:val="00E43A0A"/>
    <w:rsid w:val="00E43BD2"/>
    <w:rsid w:val="00E442B0"/>
    <w:rsid w:val="00E449FD"/>
    <w:rsid w:val="00E44B89"/>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1EA"/>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7321"/>
    <w:rsid w:val="00E9749B"/>
    <w:rsid w:val="00E97669"/>
    <w:rsid w:val="00E9779E"/>
    <w:rsid w:val="00E97AFF"/>
    <w:rsid w:val="00E97FDF"/>
    <w:rsid w:val="00EA0095"/>
    <w:rsid w:val="00EA04E3"/>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60C2"/>
    <w:rsid w:val="00EC6226"/>
    <w:rsid w:val="00EC6512"/>
    <w:rsid w:val="00EC6E83"/>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12"/>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DF6"/>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428"/>
    <w:rsid w:val="00FA1576"/>
    <w:rsid w:val="00FA192C"/>
    <w:rsid w:val="00FA1B3F"/>
    <w:rsid w:val="00FA20B7"/>
    <w:rsid w:val="00FA2716"/>
    <w:rsid w:val="00FA2A5F"/>
    <w:rsid w:val="00FA2C0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687"/>
    <w:rsid w:val="00FB2C0D"/>
    <w:rsid w:val="00FB2DEF"/>
    <w:rsid w:val="00FB2F20"/>
    <w:rsid w:val="00FB32B0"/>
    <w:rsid w:val="00FB34AB"/>
    <w:rsid w:val="00FB396C"/>
    <w:rsid w:val="00FB4347"/>
    <w:rsid w:val="00FB44CD"/>
    <w:rsid w:val="00FB4B3B"/>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2D073-31CC-479E-B79D-912FE748F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cp:revision>
  <cp:lastPrinted>2021-09-30T03:20:00Z</cp:lastPrinted>
  <dcterms:created xsi:type="dcterms:W3CDTF">2023-02-17T08:40:00Z</dcterms:created>
  <dcterms:modified xsi:type="dcterms:W3CDTF">2023-02-17T08:40:00Z</dcterms:modified>
</cp:coreProperties>
</file>